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721FBA91"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B765C9">
        <w:rPr>
          <w:rFonts w:ascii="Arial" w:hAnsi="Arial" w:cs="Arial"/>
          <w:b/>
          <w:bCs/>
          <w:sz w:val="24"/>
          <w:szCs w:val="24"/>
        </w:rPr>
        <w:t>Q</w:t>
      </w:r>
      <w:r w:rsidRPr="00F72CCE">
        <w:rPr>
          <w:rFonts w:ascii="Arial" w:hAnsi="Arial" w:cs="Arial"/>
          <w:b/>
          <w:bCs/>
          <w:sz w:val="24"/>
          <w:szCs w:val="24"/>
        </w:rPr>
        <w:t>2</w:t>
      </w:r>
    </w:p>
    <w:p w14:paraId="2542B99E" w14:textId="03CCCCA8" w:rsidR="006C4FF9" w:rsidRDefault="000D6ADB" w:rsidP="00690243">
      <w:pPr>
        <w:spacing w:after="0" w:line="240" w:lineRule="auto"/>
        <w:jc w:val="both"/>
        <w:rPr>
          <w:rFonts w:ascii="Arial" w:hAnsi="Arial" w:cs="Arial"/>
          <w:b/>
          <w:bCs/>
          <w:sz w:val="24"/>
          <w:szCs w:val="24"/>
        </w:rPr>
      </w:pPr>
      <w:r>
        <w:rPr>
          <w:rFonts w:ascii="Arial" w:hAnsi="Arial" w:cs="Arial"/>
          <w:b/>
          <w:bCs/>
          <w:sz w:val="24"/>
          <w:szCs w:val="24"/>
        </w:rPr>
        <w:t>I</w:t>
      </w:r>
      <w:r w:rsidR="005265A0" w:rsidRPr="005265A0">
        <w:rPr>
          <w:rFonts w:ascii="Arial" w:hAnsi="Arial" w:cs="Arial"/>
          <w:b/>
          <w:bCs/>
          <w:sz w:val="24"/>
          <w:szCs w:val="24"/>
        </w:rPr>
        <w:t xml:space="preserve">nstructions relating to the completion of the returns concerning credit risk are furnished with reference to the paragraph numbers, column headings and </w:t>
      </w:r>
      <w:proofErr w:type="gramStart"/>
      <w:r w:rsidR="005265A0" w:rsidRPr="005265A0">
        <w:rPr>
          <w:rFonts w:ascii="Arial" w:hAnsi="Arial" w:cs="Arial"/>
          <w:b/>
          <w:bCs/>
          <w:sz w:val="24"/>
          <w:szCs w:val="24"/>
        </w:rPr>
        <w:t>line item</w:t>
      </w:r>
      <w:proofErr w:type="gramEnd"/>
      <w:r w:rsidR="005265A0" w:rsidRPr="005265A0">
        <w:rPr>
          <w:rFonts w:ascii="Arial" w:hAnsi="Arial" w:cs="Arial"/>
          <w:b/>
          <w:bCs/>
          <w:sz w:val="24"/>
          <w:szCs w:val="24"/>
        </w:rPr>
        <w:t xml:space="preserve"> numbers appearing on forms DI 500, DI 505, DI 510 and DI 520, as follows</w:t>
      </w:r>
      <w:r w:rsidR="005265A0">
        <w:rPr>
          <w:rFonts w:ascii="Arial" w:hAnsi="Arial" w:cs="Arial"/>
          <w:b/>
          <w:bCs/>
          <w:sz w:val="24"/>
          <w:szCs w:val="24"/>
        </w:rPr>
        <w:t xml:space="preserve">: </w:t>
      </w:r>
    </w:p>
    <w:p w14:paraId="1E57AAC3" w14:textId="77777777" w:rsidR="005265A0" w:rsidRDefault="005265A0" w:rsidP="00690243">
      <w:pPr>
        <w:spacing w:after="0" w:line="240" w:lineRule="auto"/>
        <w:jc w:val="both"/>
        <w:rPr>
          <w:rFonts w:ascii="Arial" w:hAnsi="Arial" w:cs="Arial"/>
          <w:b/>
          <w:bCs/>
          <w:sz w:val="24"/>
          <w:szCs w:val="24"/>
        </w:rPr>
      </w:pPr>
    </w:p>
    <w:p w14:paraId="70E1059D" w14:textId="77777777" w:rsidR="00DF43EC" w:rsidRPr="00E74249" w:rsidRDefault="00DF43EC" w:rsidP="00DF43EC">
      <w:pPr>
        <w:spacing w:after="0" w:line="240" w:lineRule="auto"/>
        <w:jc w:val="both"/>
        <w:rPr>
          <w:rFonts w:ascii="Arial" w:hAnsi="Arial" w:cs="Arial"/>
          <w:b/>
          <w:bCs/>
          <w:i/>
          <w:iCs/>
          <w:sz w:val="24"/>
          <w:szCs w:val="24"/>
        </w:rPr>
      </w:pPr>
      <w:r w:rsidRPr="00E74249">
        <w:rPr>
          <w:rFonts w:ascii="Arial" w:hAnsi="Arial" w:cs="Arial"/>
          <w:b/>
          <w:bCs/>
          <w:i/>
          <w:iCs/>
          <w:sz w:val="24"/>
          <w:szCs w:val="24"/>
        </w:rPr>
        <w:t>Form Dl 500 Paragraph number</w:t>
      </w:r>
    </w:p>
    <w:p w14:paraId="03A15BD7" w14:textId="70EEF7EB" w:rsidR="00DF43EC" w:rsidRPr="00DF43EC" w:rsidRDefault="00DF43EC" w:rsidP="00DF43EC">
      <w:pPr>
        <w:spacing w:after="0" w:line="240" w:lineRule="auto"/>
        <w:jc w:val="both"/>
        <w:rPr>
          <w:rFonts w:ascii="Arial" w:hAnsi="Arial" w:cs="Arial"/>
          <w:sz w:val="24"/>
          <w:szCs w:val="24"/>
        </w:rPr>
      </w:pPr>
    </w:p>
    <w:p w14:paraId="604CE7B3" w14:textId="48A7DFD3" w:rsidR="00DF43EC" w:rsidRPr="000D6ADB" w:rsidRDefault="00DF43EC" w:rsidP="00DF43EC">
      <w:pPr>
        <w:spacing w:after="0" w:line="240" w:lineRule="auto"/>
        <w:jc w:val="both"/>
        <w:rPr>
          <w:rFonts w:ascii="Arial" w:hAnsi="Arial" w:cs="Arial"/>
          <w:b/>
          <w:bCs/>
          <w:sz w:val="24"/>
          <w:szCs w:val="24"/>
        </w:rPr>
      </w:pPr>
      <w:r w:rsidRPr="000D6ADB">
        <w:rPr>
          <w:rFonts w:ascii="Arial" w:hAnsi="Arial" w:cs="Arial"/>
          <w:b/>
          <w:bCs/>
          <w:sz w:val="24"/>
          <w:szCs w:val="24"/>
        </w:rPr>
        <w:t>3.</w:t>
      </w:r>
      <w:r w:rsidRPr="000D6ADB">
        <w:rPr>
          <w:rFonts w:ascii="Arial" w:hAnsi="Arial" w:cs="Arial"/>
          <w:b/>
          <w:bCs/>
          <w:sz w:val="24"/>
          <w:szCs w:val="24"/>
        </w:rPr>
        <w:tab/>
        <w:t>ASSET QUALITY</w:t>
      </w:r>
    </w:p>
    <w:p w14:paraId="01619865" w14:textId="6B4285D4" w:rsidR="00DF43EC" w:rsidRPr="00DF43EC" w:rsidRDefault="00DF43EC" w:rsidP="00DF43EC">
      <w:pPr>
        <w:spacing w:after="0" w:line="240" w:lineRule="auto"/>
        <w:jc w:val="both"/>
        <w:rPr>
          <w:rFonts w:ascii="Arial" w:hAnsi="Arial" w:cs="Arial"/>
          <w:sz w:val="24"/>
          <w:szCs w:val="24"/>
        </w:rPr>
      </w:pPr>
    </w:p>
    <w:p w14:paraId="1820106B" w14:textId="77777777" w:rsidR="00DF43EC" w:rsidRPr="00DF43EC" w:rsidRDefault="00DF43EC" w:rsidP="00DF43EC">
      <w:pPr>
        <w:spacing w:after="0" w:line="240" w:lineRule="auto"/>
        <w:ind w:left="720"/>
        <w:jc w:val="both"/>
        <w:rPr>
          <w:rFonts w:ascii="Arial" w:hAnsi="Arial" w:cs="Arial"/>
          <w:sz w:val="24"/>
          <w:szCs w:val="24"/>
        </w:rPr>
      </w:pPr>
      <w:r w:rsidRPr="00DF43EC">
        <w:rPr>
          <w:rFonts w:ascii="Arial" w:hAnsi="Arial" w:cs="Arial"/>
          <w:sz w:val="24"/>
          <w:szCs w:val="24"/>
        </w:rPr>
        <w:t>Assets bought in or repossessed and unsold - Companies acquired (</w:t>
      </w:r>
      <w:proofErr w:type="gramStart"/>
      <w:r w:rsidRPr="00DF43EC">
        <w:rPr>
          <w:rFonts w:ascii="Arial" w:hAnsi="Arial" w:cs="Arial"/>
          <w:sz w:val="24"/>
          <w:szCs w:val="24"/>
        </w:rPr>
        <w:t>line item</w:t>
      </w:r>
      <w:proofErr w:type="gramEnd"/>
      <w:r w:rsidRPr="00DF43EC">
        <w:rPr>
          <w:rFonts w:ascii="Arial" w:hAnsi="Arial" w:cs="Arial"/>
          <w:sz w:val="24"/>
          <w:szCs w:val="24"/>
        </w:rPr>
        <w:t xml:space="preserve"> no. 18)</w:t>
      </w:r>
    </w:p>
    <w:p w14:paraId="2122956B" w14:textId="72151098" w:rsidR="00DF43EC" w:rsidRPr="00DF43EC" w:rsidRDefault="00DF43EC" w:rsidP="00DF43EC">
      <w:pPr>
        <w:spacing w:after="0" w:line="240" w:lineRule="auto"/>
        <w:jc w:val="both"/>
        <w:rPr>
          <w:rFonts w:ascii="Arial" w:hAnsi="Arial" w:cs="Arial"/>
          <w:sz w:val="24"/>
          <w:szCs w:val="24"/>
        </w:rPr>
      </w:pPr>
    </w:p>
    <w:p w14:paraId="46CADFDB" w14:textId="77777777" w:rsidR="00DF43EC" w:rsidRPr="00DF43EC" w:rsidRDefault="00DF43EC" w:rsidP="00DF43EC">
      <w:pPr>
        <w:spacing w:after="0" w:line="240" w:lineRule="auto"/>
        <w:ind w:left="720"/>
        <w:jc w:val="both"/>
        <w:rPr>
          <w:rFonts w:ascii="Arial" w:hAnsi="Arial" w:cs="Arial"/>
          <w:sz w:val="24"/>
          <w:szCs w:val="24"/>
        </w:rPr>
      </w:pPr>
      <w:r w:rsidRPr="00DF43EC">
        <w:rPr>
          <w:rFonts w:ascii="Arial" w:hAnsi="Arial" w:cs="Arial"/>
          <w:sz w:val="24"/>
          <w:szCs w:val="24"/>
        </w:rPr>
        <w:t>The bank shall furnish on form DI 520 details of each individual company acquired or bought in to protect an investment (including loans and advances) during the preceding five years, and which has not been disposed of at the end of its financial year.</w:t>
      </w:r>
    </w:p>
    <w:p w14:paraId="6FFABCAB" w14:textId="2D2A9DB7" w:rsidR="00DF43EC" w:rsidRPr="00DF43EC" w:rsidRDefault="00DF43EC" w:rsidP="00DF43EC">
      <w:pPr>
        <w:spacing w:after="0" w:line="240" w:lineRule="auto"/>
        <w:jc w:val="both"/>
        <w:rPr>
          <w:rFonts w:ascii="Arial" w:hAnsi="Arial" w:cs="Arial"/>
          <w:sz w:val="24"/>
          <w:szCs w:val="24"/>
        </w:rPr>
      </w:pPr>
    </w:p>
    <w:p w14:paraId="0124E80F" w14:textId="77777777" w:rsidR="00DF43EC" w:rsidRPr="00DF43EC" w:rsidRDefault="00DF43EC" w:rsidP="00DF43EC">
      <w:pPr>
        <w:spacing w:after="0" w:line="240" w:lineRule="auto"/>
        <w:ind w:left="720"/>
        <w:jc w:val="both"/>
        <w:rPr>
          <w:rFonts w:ascii="Arial" w:hAnsi="Arial" w:cs="Arial"/>
          <w:sz w:val="24"/>
          <w:szCs w:val="24"/>
        </w:rPr>
      </w:pPr>
      <w:r w:rsidRPr="00DF43EC">
        <w:rPr>
          <w:rFonts w:ascii="Arial" w:hAnsi="Arial" w:cs="Arial"/>
          <w:sz w:val="24"/>
          <w:szCs w:val="24"/>
        </w:rPr>
        <w:t>Assets bought in or repossessed and unsold - Fixed property (</w:t>
      </w:r>
      <w:proofErr w:type="gramStart"/>
      <w:r w:rsidRPr="00DF43EC">
        <w:rPr>
          <w:rFonts w:ascii="Arial" w:hAnsi="Arial" w:cs="Arial"/>
          <w:sz w:val="24"/>
          <w:szCs w:val="24"/>
        </w:rPr>
        <w:t>line item</w:t>
      </w:r>
      <w:proofErr w:type="gramEnd"/>
      <w:r w:rsidRPr="00DF43EC">
        <w:rPr>
          <w:rFonts w:ascii="Arial" w:hAnsi="Arial" w:cs="Arial"/>
          <w:sz w:val="24"/>
          <w:szCs w:val="24"/>
        </w:rPr>
        <w:t xml:space="preserve"> no. 19 and 20)</w:t>
      </w:r>
    </w:p>
    <w:p w14:paraId="7FE72558" w14:textId="56F1511E" w:rsidR="00DF43EC" w:rsidRPr="00DF43EC" w:rsidRDefault="00DF43EC" w:rsidP="00DF43EC">
      <w:pPr>
        <w:spacing w:after="0" w:line="240" w:lineRule="auto"/>
        <w:jc w:val="both"/>
        <w:rPr>
          <w:rFonts w:ascii="Arial" w:hAnsi="Arial" w:cs="Arial"/>
          <w:sz w:val="24"/>
          <w:szCs w:val="24"/>
        </w:rPr>
      </w:pPr>
    </w:p>
    <w:p w14:paraId="61908D04" w14:textId="77777777" w:rsidR="00DF43EC" w:rsidRPr="00DF43EC" w:rsidRDefault="00DF43EC" w:rsidP="00DF43EC">
      <w:pPr>
        <w:spacing w:after="0" w:line="240" w:lineRule="auto"/>
        <w:ind w:left="720"/>
        <w:jc w:val="both"/>
        <w:rPr>
          <w:rFonts w:ascii="Arial" w:hAnsi="Arial" w:cs="Arial"/>
          <w:sz w:val="24"/>
          <w:szCs w:val="24"/>
        </w:rPr>
      </w:pPr>
      <w:r w:rsidRPr="00DF43EC">
        <w:rPr>
          <w:rFonts w:ascii="Arial" w:hAnsi="Arial" w:cs="Arial"/>
          <w:sz w:val="24"/>
          <w:szCs w:val="24"/>
        </w:rPr>
        <w:t>The bank shall furnish on form DI 520 details of each immovable asset bought in during the preceding five years to protect an investment (including loans and advances) representing an exposure of more than two per cent of its net qualifying capital and reserves as at its financial year-end, and which asset has not been disposed of at the end of its financial year.</w:t>
      </w:r>
    </w:p>
    <w:p w14:paraId="017EB4FD" w14:textId="02C1CB5C" w:rsidR="00DF43EC" w:rsidRPr="00DF43EC" w:rsidRDefault="00DF43EC" w:rsidP="00DF43EC">
      <w:pPr>
        <w:spacing w:after="0" w:line="240" w:lineRule="auto"/>
        <w:jc w:val="both"/>
        <w:rPr>
          <w:rFonts w:ascii="Arial" w:hAnsi="Arial" w:cs="Arial"/>
          <w:sz w:val="24"/>
          <w:szCs w:val="24"/>
        </w:rPr>
      </w:pPr>
    </w:p>
    <w:p w14:paraId="74F1FBEA" w14:textId="77777777" w:rsidR="00DF43EC" w:rsidRPr="00DF43EC" w:rsidRDefault="00DF43EC" w:rsidP="00DF43EC">
      <w:pPr>
        <w:spacing w:after="0" w:line="240" w:lineRule="auto"/>
        <w:ind w:left="720"/>
        <w:jc w:val="both"/>
        <w:rPr>
          <w:rFonts w:ascii="Arial" w:hAnsi="Arial" w:cs="Arial"/>
          <w:sz w:val="24"/>
          <w:szCs w:val="24"/>
        </w:rPr>
      </w:pPr>
      <w:r w:rsidRPr="00DF43EC">
        <w:rPr>
          <w:rFonts w:ascii="Arial" w:hAnsi="Arial" w:cs="Arial"/>
          <w:i/>
          <w:iCs/>
          <w:sz w:val="24"/>
          <w:szCs w:val="24"/>
        </w:rPr>
        <w:t>Note</w:t>
      </w:r>
      <w:r w:rsidRPr="00DF43EC">
        <w:rPr>
          <w:rFonts w:ascii="Arial" w:hAnsi="Arial" w:cs="Arial"/>
          <w:sz w:val="24"/>
          <w:szCs w:val="24"/>
        </w:rPr>
        <w:t>: All amounts reported under the columns hereinafter referred to in this paragraph shall be so reported net of specific provisions.</w:t>
      </w:r>
    </w:p>
    <w:p w14:paraId="025A2E15" w14:textId="5FA34BA2" w:rsidR="00DF43EC" w:rsidRPr="00DF43EC" w:rsidRDefault="00DF43EC" w:rsidP="00DF43EC">
      <w:pPr>
        <w:spacing w:after="0" w:line="240" w:lineRule="auto"/>
        <w:jc w:val="both"/>
        <w:rPr>
          <w:rFonts w:ascii="Arial" w:hAnsi="Arial" w:cs="Arial"/>
          <w:sz w:val="24"/>
          <w:szCs w:val="24"/>
        </w:rPr>
      </w:pPr>
    </w:p>
    <w:p w14:paraId="58A69433" w14:textId="404E2767" w:rsidR="00DF43EC" w:rsidRPr="000D6ADB" w:rsidRDefault="00DF43EC" w:rsidP="00DF43EC">
      <w:pPr>
        <w:spacing w:after="0" w:line="240" w:lineRule="auto"/>
        <w:jc w:val="both"/>
        <w:rPr>
          <w:rFonts w:ascii="Arial" w:hAnsi="Arial" w:cs="Arial"/>
          <w:b/>
          <w:bCs/>
          <w:sz w:val="24"/>
          <w:szCs w:val="24"/>
        </w:rPr>
      </w:pPr>
      <w:r w:rsidRPr="000D6ADB">
        <w:rPr>
          <w:rFonts w:ascii="Arial" w:hAnsi="Arial" w:cs="Arial"/>
          <w:b/>
          <w:bCs/>
          <w:sz w:val="24"/>
          <w:szCs w:val="24"/>
        </w:rPr>
        <w:t>4.</w:t>
      </w:r>
      <w:r w:rsidRPr="000D6ADB">
        <w:rPr>
          <w:rFonts w:ascii="Arial" w:hAnsi="Arial" w:cs="Arial"/>
          <w:b/>
          <w:bCs/>
          <w:sz w:val="24"/>
          <w:szCs w:val="24"/>
        </w:rPr>
        <w:tab/>
        <w:t>PERCENTAGE DISTRIBUTION OF ASSETS BASED ON PROFITABILITY</w:t>
      </w:r>
    </w:p>
    <w:p w14:paraId="099047B1" w14:textId="114A711D" w:rsidR="00DF43EC" w:rsidRPr="00DF43EC" w:rsidRDefault="00DF43EC" w:rsidP="00DF43EC">
      <w:pPr>
        <w:spacing w:after="0" w:line="240" w:lineRule="auto"/>
        <w:jc w:val="both"/>
        <w:rPr>
          <w:rFonts w:ascii="Arial" w:hAnsi="Arial" w:cs="Arial"/>
          <w:sz w:val="24"/>
          <w:szCs w:val="24"/>
        </w:rPr>
      </w:pPr>
    </w:p>
    <w:p w14:paraId="7F1B0FA3" w14:textId="77777777" w:rsidR="00DF43EC" w:rsidRPr="00DF43EC" w:rsidRDefault="00DF43EC" w:rsidP="00DF43EC">
      <w:pPr>
        <w:spacing w:after="0" w:line="240" w:lineRule="auto"/>
        <w:ind w:firstLine="720"/>
        <w:jc w:val="both"/>
        <w:rPr>
          <w:rFonts w:ascii="Arial" w:hAnsi="Arial" w:cs="Arial"/>
          <w:sz w:val="24"/>
          <w:szCs w:val="24"/>
        </w:rPr>
      </w:pPr>
      <w:r w:rsidRPr="00DF43EC">
        <w:rPr>
          <w:rFonts w:ascii="Arial" w:hAnsi="Arial" w:cs="Arial"/>
          <w:sz w:val="24"/>
          <w:szCs w:val="24"/>
        </w:rPr>
        <w:t>Column: Reasonable return</w:t>
      </w:r>
    </w:p>
    <w:p w14:paraId="4C33E536" w14:textId="6FE21F14" w:rsidR="00DF43EC" w:rsidRPr="00DF43EC" w:rsidRDefault="00DF43EC" w:rsidP="00DF43EC">
      <w:pPr>
        <w:spacing w:after="0" w:line="240" w:lineRule="auto"/>
        <w:jc w:val="both"/>
        <w:rPr>
          <w:rFonts w:ascii="Arial" w:hAnsi="Arial" w:cs="Arial"/>
          <w:sz w:val="24"/>
          <w:szCs w:val="24"/>
        </w:rPr>
      </w:pPr>
    </w:p>
    <w:p w14:paraId="7DED3256" w14:textId="00738B48" w:rsidR="00DF43EC" w:rsidRPr="00DF43EC" w:rsidRDefault="00DF43EC" w:rsidP="00DF43EC">
      <w:pPr>
        <w:spacing w:after="0" w:line="240" w:lineRule="auto"/>
        <w:ind w:left="720"/>
        <w:jc w:val="both"/>
        <w:rPr>
          <w:rFonts w:ascii="Arial" w:hAnsi="Arial" w:cs="Arial"/>
          <w:sz w:val="24"/>
          <w:szCs w:val="24"/>
        </w:rPr>
      </w:pPr>
      <w:r w:rsidRPr="00DF43EC">
        <w:rPr>
          <w:rFonts w:ascii="Arial" w:hAnsi="Arial" w:cs="Arial"/>
          <w:sz w:val="24"/>
          <w:szCs w:val="24"/>
        </w:rPr>
        <w:t xml:space="preserve">This column shall include the assets mentioned above, that would contribute to the continued profitable operations of the reporting mutual bank. In the absence of more accurate methods, all relevant assets on which a return </w:t>
      </w:r>
      <w:proofErr w:type="gramStart"/>
      <w:r w:rsidRPr="00DF43EC">
        <w:rPr>
          <w:rFonts w:ascii="Arial" w:hAnsi="Arial" w:cs="Arial"/>
          <w:sz w:val="24"/>
          <w:szCs w:val="24"/>
        </w:rPr>
        <w:t>in excess of</w:t>
      </w:r>
      <w:proofErr w:type="gramEnd"/>
      <w:r w:rsidRPr="00DF43EC">
        <w:rPr>
          <w:rFonts w:ascii="Arial" w:hAnsi="Arial" w:cs="Arial"/>
          <w:sz w:val="24"/>
          <w:szCs w:val="24"/>
        </w:rPr>
        <w:t xml:space="preserve"> the average cost of funds plus (</w:t>
      </w:r>
      <w:r w:rsidRPr="00DF43EC">
        <w:rPr>
          <w:rFonts w:ascii="Arial" w:hAnsi="Arial" w:cs="Arial"/>
          <w:sz w:val="24"/>
          <w:szCs w:val="24"/>
          <w:u w:val="single"/>
        </w:rPr>
        <w:t>operating expenses</w:t>
      </w:r>
      <w:r w:rsidRPr="00DF43EC">
        <w:rPr>
          <w:rFonts w:ascii="Arial" w:hAnsi="Arial" w:cs="Arial"/>
          <w:sz w:val="24"/>
          <w:szCs w:val="24"/>
        </w:rPr>
        <w:t> x 100) in being earned must be included.                                    total assets</w:t>
      </w:r>
    </w:p>
    <w:p w14:paraId="0FB118C3" w14:textId="295C972D" w:rsidR="00DF43EC" w:rsidRPr="00DF43EC" w:rsidRDefault="00DF43EC" w:rsidP="00DF43EC">
      <w:pPr>
        <w:spacing w:after="0" w:line="240" w:lineRule="auto"/>
        <w:jc w:val="both"/>
        <w:rPr>
          <w:rFonts w:ascii="Arial" w:hAnsi="Arial" w:cs="Arial"/>
          <w:sz w:val="24"/>
          <w:szCs w:val="24"/>
        </w:rPr>
      </w:pPr>
    </w:p>
    <w:p w14:paraId="180FACB6" w14:textId="77777777" w:rsidR="00DF43EC" w:rsidRPr="00DF43EC" w:rsidRDefault="00DF43EC" w:rsidP="0085162A">
      <w:pPr>
        <w:spacing w:after="0" w:line="240" w:lineRule="auto"/>
        <w:ind w:firstLine="720"/>
        <w:jc w:val="both"/>
        <w:rPr>
          <w:rFonts w:ascii="Arial" w:hAnsi="Arial" w:cs="Arial"/>
          <w:sz w:val="24"/>
          <w:szCs w:val="24"/>
        </w:rPr>
      </w:pPr>
      <w:r w:rsidRPr="00DF43EC">
        <w:rPr>
          <w:rFonts w:ascii="Arial" w:hAnsi="Arial" w:cs="Arial"/>
          <w:sz w:val="24"/>
          <w:szCs w:val="24"/>
        </w:rPr>
        <w:t>Column: Some return</w:t>
      </w:r>
    </w:p>
    <w:p w14:paraId="2C617A9D" w14:textId="6BB2FA88" w:rsidR="00DF43EC" w:rsidRPr="00DF43EC" w:rsidRDefault="00DF43EC" w:rsidP="00DF43EC">
      <w:pPr>
        <w:spacing w:after="0" w:line="240" w:lineRule="auto"/>
        <w:jc w:val="both"/>
        <w:rPr>
          <w:rFonts w:ascii="Arial" w:hAnsi="Arial" w:cs="Arial"/>
          <w:sz w:val="24"/>
          <w:szCs w:val="24"/>
        </w:rPr>
      </w:pPr>
    </w:p>
    <w:p w14:paraId="32A9B13A" w14:textId="77777777" w:rsidR="00DF43EC" w:rsidRPr="00DF43EC" w:rsidRDefault="00DF43EC" w:rsidP="0085162A">
      <w:pPr>
        <w:spacing w:after="0" w:line="240" w:lineRule="auto"/>
        <w:ind w:left="720"/>
        <w:jc w:val="both"/>
        <w:rPr>
          <w:rFonts w:ascii="Arial" w:hAnsi="Arial" w:cs="Arial"/>
          <w:sz w:val="24"/>
          <w:szCs w:val="24"/>
        </w:rPr>
      </w:pPr>
      <w:r w:rsidRPr="00DF43EC">
        <w:rPr>
          <w:rFonts w:ascii="Arial" w:hAnsi="Arial" w:cs="Arial"/>
          <w:sz w:val="24"/>
          <w:szCs w:val="24"/>
        </w:rPr>
        <w:t xml:space="preserve">This column shall include the assets mentioned above on which the profit margins are so low that they would not allow the continued profitable operation of the reporting mutual bank. In the absence of more accurate methods, all relevant assets on which a return </w:t>
      </w:r>
      <w:proofErr w:type="gramStart"/>
      <w:r w:rsidRPr="00DF43EC">
        <w:rPr>
          <w:rFonts w:ascii="Arial" w:hAnsi="Arial" w:cs="Arial"/>
          <w:sz w:val="24"/>
          <w:szCs w:val="24"/>
        </w:rPr>
        <w:t>in excess of</w:t>
      </w:r>
      <w:proofErr w:type="gramEnd"/>
      <w:r w:rsidRPr="00DF43EC">
        <w:rPr>
          <w:rFonts w:ascii="Arial" w:hAnsi="Arial" w:cs="Arial"/>
          <w:sz w:val="24"/>
          <w:szCs w:val="24"/>
        </w:rPr>
        <w:t xml:space="preserve"> the average cost of funds is being earned must be included.</w:t>
      </w:r>
    </w:p>
    <w:p w14:paraId="3300CFE5" w14:textId="4C422825" w:rsidR="00DF43EC" w:rsidRPr="00DF43EC" w:rsidRDefault="00DF43EC" w:rsidP="00DF43EC">
      <w:pPr>
        <w:spacing w:after="0" w:line="240" w:lineRule="auto"/>
        <w:jc w:val="both"/>
        <w:rPr>
          <w:rFonts w:ascii="Arial" w:hAnsi="Arial" w:cs="Arial"/>
          <w:sz w:val="24"/>
          <w:szCs w:val="24"/>
        </w:rPr>
      </w:pPr>
    </w:p>
    <w:p w14:paraId="41344528" w14:textId="77777777" w:rsidR="00DF43EC" w:rsidRPr="00DF43EC" w:rsidRDefault="00DF43EC" w:rsidP="0085162A">
      <w:pPr>
        <w:spacing w:after="0" w:line="240" w:lineRule="auto"/>
        <w:ind w:firstLine="720"/>
        <w:jc w:val="both"/>
        <w:rPr>
          <w:rFonts w:ascii="Arial" w:hAnsi="Arial" w:cs="Arial"/>
          <w:sz w:val="24"/>
          <w:szCs w:val="24"/>
        </w:rPr>
      </w:pPr>
      <w:r w:rsidRPr="00DF43EC">
        <w:rPr>
          <w:rFonts w:ascii="Arial" w:hAnsi="Arial" w:cs="Arial"/>
          <w:sz w:val="24"/>
          <w:szCs w:val="24"/>
        </w:rPr>
        <w:t>Column: No return</w:t>
      </w:r>
    </w:p>
    <w:p w14:paraId="0D4DD585" w14:textId="210AF8AC" w:rsidR="00DF43EC" w:rsidRPr="00DF43EC" w:rsidRDefault="00DF43EC" w:rsidP="00DF43EC">
      <w:pPr>
        <w:spacing w:after="0" w:line="240" w:lineRule="auto"/>
        <w:jc w:val="both"/>
        <w:rPr>
          <w:rFonts w:ascii="Arial" w:hAnsi="Arial" w:cs="Arial"/>
          <w:sz w:val="24"/>
          <w:szCs w:val="24"/>
        </w:rPr>
      </w:pPr>
    </w:p>
    <w:p w14:paraId="7E04F574" w14:textId="77777777" w:rsidR="00DF43EC" w:rsidRPr="00DF43EC" w:rsidRDefault="00DF43EC" w:rsidP="0085162A">
      <w:pPr>
        <w:spacing w:after="0" w:line="240" w:lineRule="auto"/>
        <w:ind w:left="720"/>
        <w:jc w:val="both"/>
        <w:rPr>
          <w:rFonts w:ascii="Arial" w:hAnsi="Arial" w:cs="Arial"/>
          <w:sz w:val="24"/>
          <w:szCs w:val="24"/>
        </w:rPr>
      </w:pPr>
      <w:r w:rsidRPr="00DF43EC">
        <w:rPr>
          <w:rFonts w:ascii="Arial" w:hAnsi="Arial" w:cs="Arial"/>
          <w:sz w:val="24"/>
          <w:szCs w:val="24"/>
        </w:rPr>
        <w:lastRenderedPageBreak/>
        <w:t>This column shall include the assets on which no income is earned and those discounts, as well as loans and advances that are non-performing debts, as defined and net of specific provisions, including when the return being earned is less than the average cost of funds.</w:t>
      </w:r>
    </w:p>
    <w:p w14:paraId="1F494E71" w14:textId="3CF2A12C" w:rsidR="00DF43EC" w:rsidRPr="00DF43EC" w:rsidRDefault="00DF43EC" w:rsidP="00DF43EC">
      <w:pPr>
        <w:spacing w:after="0" w:line="240" w:lineRule="auto"/>
        <w:jc w:val="both"/>
        <w:rPr>
          <w:rFonts w:ascii="Arial" w:hAnsi="Arial" w:cs="Arial"/>
          <w:sz w:val="24"/>
          <w:szCs w:val="24"/>
        </w:rPr>
      </w:pPr>
    </w:p>
    <w:p w14:paraId="5A52FCB9" w14:textId="77777777" w:rsidR="00DF43EC" w:rsidRPr="00DF43EC" w:rsidRDefault="00DF43EC" w:rsidP="0085162A">
      <w:pPr>
        <w:spacing w:after="0" w:line="240" w:lineRule="auto"/>
        <w:ind w:firstLine="720"/>
        <w:jc w:val="both"/>
        <w:rPr>
          <w:rFonts w:ascii="Arial" w:hAnsi="Arial" w:cs="Arial"/>
          <w:sz w:val="24"/>
          <w:szCs w:val="24"/>
        </w:rPr>
      </w:pPr>
      <w:r w:rsidRPr="00DF43EC">
        <w:rPr>
          <w:rFonts w:ascii="Arial" w:hAnsi="Arial" w:cs="Arial"/>
          <w:sz w:val="24"/>
          <w:szCs w:val="24"/>
        </w:rPr>
        <w:t>Column: Earning</w:t>
      </w:r>
    </w:p>
    <w:p w14:paraId="3CB61D79" w14:textId="431DE1C9" w:rsidR="00DF43EC" w:rsidRPr="00DF43EC" w:rsidRDefault="00DF43EC" w:rsidP="00DF43EC">
      <w:pPr>
        <w:spacing w:after="0" w:line="240" w:lineRule="auto"/>
        <w:jc w:val="both"/>
        <w:rPr>
          <w:rFonts w:ascii="Arial" w:hAnsi="Arial" w:cs="Arial"/>
          <w:sz w:val="24"/>
          <w:szCs w:val="24"/>
        </w:rPr>
      </w:pPr>
    </w:p>
    <w:p w14:paraId="319583C0" w14:textId="77777777" w:rsidR="00DF43EC" w:rsidRPr="00DF43EC" w:rsidRDefault="00DF43EC" w:rsidP="0085162A">
      <w:pPr>
        <w:spacing w:after="0" w:line="240" w:lineRule="auto"/>
        <w:ind w:left="720"/>
        <w:jc w:val="both"/>
        <w:rPr>
          <w:rFonts w:ascii="Arial" w:hAnsi="Arial" w:cs="Arial"/>
          <w:sz w:val="24"/>
          <w:szCs w:val="24"/>
        </w:rPr>
      </w:pPr>
      <w:r w:rsidRPr="00DF43EC">
        <w:rPr>
          <w:rFonts w:ascii="Arial" w:hAnsi="Arial" w:cs="Arial"/>
          <w:sz w:val="24"/>
          <w:szCs w:val="24"/>
        </w:rPr>
        <w:t>This column shall include those investments of the reporting mutual bank in respect of which dividends were received during the 12-month period prior to the date of the return.</w:t>
      </w:r>
    </w:p>
    <w:p w14:paraId="4FEC1997" w14:textId="6C6BBCD3" w:rsidR="00DF43EC" w:rsidRPr="00DF43EC" w:rsidRDefault="00DF43EC" w:rsidP="00DF43EC">
      <w:pPr>
        <w:spacing w:after="0" w:line="240" w:lineRule="auto"/>
        <w:jc w:val="both"/>
        <w:rPr>
          <w:rFonts w:ascii="Arial" w:hAnsi="Arial" w:cs="Arial"/>
          <w:sz w:val="24"/>
          <w:szCs w:val="24"/>
        </w:rPr>
      </w:pPr>
    </w:p>
    <w:p w14:paraId="2F9EA294" w14:textId="77777777" w:rsidR="00DF43EC" w:rsidRPr="00DF43EC" w:rsidRDefault="00DF43EC" w:rsidP="0085162A">
      <w:pPr>
        <w:spacing w:after="0" w:line="240" w:lineRule="auto"/>
        <w:ind w:firstLine="720"/>
        <w:jc w:val="both"/>
        <w:rPr>
          <w:rFonts w:ascii="Arial" w:hAnsi="Arial" w:cs="Arial"/>
          <w:sz w:val="24"/>
          <w:szCs w:val="24"/>
        </w:rPr>
      </w:pPr>
      <w:r w:rsidRPr="00DF43EC">
        <w:rPr>
          <w:rFonts w:ascii="Arial" w:hAnsi="Arial" w:cs="Arial"/>
          <w:sz w:val="24"/>
          <w:szCs w:val="24"/>
        </w:rPr>
        <w:t>Column: Non-earning</w:t>
      </w:r>
    </w:p>
    <w:p w14:paraId="73CFD0BE" w14:textId="7C37DE90" w:rsidR="00DF43EC" w:rsidRPr="00DF43EC" w:rsidRDefault="00DF43EC" w:rsidP="00DF43EC">
      <w:pPr>
        <w:spacing w:after="0" w:line="240" w:lineRule="auto"/>
        <w:jc w:val="both"/>
        <w:rPr>
          <w:rFonts w:ascii="Arial" w:hAnsi="Arial" w:cs="Arial"/>
          <w:sz w:val="24"/>
          <w:szCs w:val="24"/>
        </w:rPr>
      </w:pPr>
    </w:p>
    <w:p w14:paraId="06880615" w14:textId="77777777" w:rsidR="00DF43EC" w:rsidRPr="00DF43EC" w:rsidRDefault="00DF43EC" w:rsidP="0085162A">
      <w:pPr>
        <w:spacing w:after="0" w:line="240" w:lineRule="auto"/>
        <w:ind w:left="720"/>
        <w:jc w:val="both"/>
        <w:rPr>
          <w:rFonts w:ascii="Arial" w:hAnsi="Arial" w:cs="Arial"/>
          <w:sz w:val="24"/>
          <w:szCs w:val="24"/>
        </w:rPr>
      </w:pPr>
      <w:r w:rsidRPr="00DF43EC">
        <w:rPr>
          <w:rFonts w:ascii="Arial" w:hAnsi="Arial" w:cs="Arial"/>
          <w:sz w:val="24"/>
          <w:szCs w:val="24"/>
        </w:rPr>
        <w:t>This column shall include those investments of the reporting mutual bank that are non-earning assets, as defined and net of specific provisions.</w:t>
      </w:r>
    </w:p>
    <w:p w14:paraId="2B5E0D40" w14:textId="06623A85" w:rsidR="00DF43EC" w:rsidRPr="00DF43EC" w:rsidRDefault="00DF43EC" w:rsidP="00DF43EC">
      <w:pPr>
        <w:spacing w:after="0" w:line="240" w:lineRule="auto"/>
        <w:jc w:val="both"/>
        <w:rPr>
          <w:rFonts w:ascii="Arial" w:hAnsi="Arial" w:cs="Arial"/>
          <w:sz w:val="24"/>
          <w:szCs w:val="24"/>
        </w:rPr>
      </w:pPr>
    </w:p>
    <w:p w14:paraId="522F1DE0" w14:textId="4B65FD73" w:rsidR="00DF43EC" w:rsidRPr="000D6ADB" w:rsidRDefault="00DF43EC" w:rsidP="00DF43EC">
      <w:pPr>
        <w:spacing w:after="0" w:line="240" w:lineRule="auto"/>
        <w:jc w:val="both"/>
        <w:rPr>
          <w:rFonts w:ascii="Arial" w:hAnsi="Arial" w:cs="Arial"/>
          <w:b/>
          <w:bCs/>
          <w:sz w:val="24"/>
          <w:szCs w:val="24"/>
        </w:rPr>
      </w:pPr>
      <w:r w:rsidRPr="000D6ADB">
        <w:rPr>
          <w:rFonts w:ascii="Arial" w:hAnsi="Arial" w:cs="Arial"/>
          <w:b/>
          <w:bCs/>
          <w:sz w:val="24"/>
          <w:szCs w:val="24"/>
        </w:rPr>
        <w:t>5.</w:t>
      </w:r>
      <w:r w:rsidR="0085162A" w:rsidRPr="000D6ADB">
        <w:rPr>
          <w:rFonts w:ascii="Arial" w:hAnsi="Arial" w:cs="Arial"/>
          <w:b/>
          <w:bCs/>
          <w:sz w:val="24"/>
          <w:szCs w:val="24"/>
        </w:rPr>
        <w:tab/>
      </w:r>
      <w:r w:rsidRPr="000D6ADB">
        <w:rPr>
          <w:rFonts w:ascii="Arial" w:hAnsi="Arial" w:cs="Arial"/>
          <w:b/>
          <w:bCs/>
          <w:sz w:val="24"/>
          <w:szCs w:val="24"/>
        </w:rPr>
        <w:t>DISTRIBUTION OF LOANS AND ADVANCES</w:t>
      </w:r>
    </w:p>
    <w:p w14:paraId="7499FB1B" w14:textId="22B8F674" w:rsidR="00DF43EC" w:rsidRPr="00DF43EC" w:rsidRDefault="00DF43EC" w:rsidP="00DF43EC">
      <w:pPr>
        <w:spacing w:after="0" w:line="240" w:lineRule="auto"/>
        <w:jc w:val="both"/>
        <w:rPr>
          <w:rFonts w:ascii="Arial" w:hAnsi="Arial" w:cs="Arial"/>
          <w:sz w:val="24"/>
          <w:szCs w:val="24"/>
        </w:rPr>
      </w:pPr>
    </w:p>
    <w:p w14:paraId="524327C1" w14:textId="77777777" w:rsidR="00DF43EC" w:rsidRPr="00DF43EC" w:rsidRDefault="00DF43EC" w:rsidP="0085162A">
      <w:pPr>
        <w:spacing w:after="0" w:line="240" w:lineRule="auto"/>
        <w:ind w:left="720"/>
        <w:jc w:val="both"/>
        <w:rPr>
          <w:rFonts w:ascii="Arial" w:hAnsi="Arial" w:cs="Arial"/>
          <w:sz w:val="24"/>
          <w:szCs w:val="24"/>
        </w:rPr>
      </w:pPr>
      <w:r w:rsidRPr="00DF43EC">
        <w:rPr>
          <w:rFonts w:ascii="Arial" w:hAnsi="Arial" w:cs="Arial"/>
          <w:sz w:val="24"/>
          <w:szCs w:val="24"/>
        </w:rPr>
        <w:t>The classification of loans and advances that appear under asset items 40 to 51 of the balance sheet shall be made, in accordance with the directives contained in, and be based on the sectors identified in, the Standard. Industrial Classification of all Economic Activities.</w:t>
      </w:r>
    </w:p>
    <w:p w14:paraId="7558F525" w14:textId="2CD3732B" w:rsidR="00DF43EC" w:rsidRPr="00DF43EC" w:rsidRDefault="00DF43EC" w:rsidP="00DF43EC">
      <w:pPr>
        <w:spacing w:after="0" w:line="240" w:lineRule="auto"/>
        <w:jc w:val="both"/>
        <w:rPr>
          <w:rFonts w:ascii="Arial" w:hAnsi="Arial" w:cs="Arial"/>
          <w:sz w:val="24"/>
          <w:szCs w:val="24"/>
        </w:rPr>
      </w:pPr>
    </w:p>
    <w:p w14:paraId="70C18B11" w14:textId="77777777" w:rsidR="00DF43EC" w:rsidRDefault="00DF43EC" w:rsidP="0085162A">
      <w:pPr>
        <w:spacing w:after="0" w:line="240" w:lineRule="auto"/>
        <w:ind w:left="720"/>
        <w:jc w:val="both"/>
        <w:rPr>
          <w:rFonts w:ascii="Arial" w:hAnsi="Arial" w:cs="Arial"/>
          <w:sz w:val="24"/>
          <w:szCs w:val="24"/>
        </w:rPr>
      </w:pPr>
      <w:r w:rsidRPr="00DF43EC">
        <w:rPr>
          <w:rFonts w:ascii="Arial" w:hAnsi="Arial" w:cs="Arial"/>
          <w:i/>
          <w:iCs/>
          <w:sz w:val="24"/>
          <w:szCs w:val="24"/>
        </w:rPr>
        <w:t>Note</w:t>
      </w:r>
      <w:r w:rsidRPr="00DF43EC">
        <w:rPr>
          <w:rFonts w:ascii="Arial" w:hAnsi="Arial" w:cs="Arial"/>
          <w:sz w:val="24"/>
          <w:szCs w:val="24"/>
        </w:rPr>
        <w:t>: The classification of loans and advances into be furnished in respect of the end of June and December of each year.</w:t>
      </w:r>
    </w:p>
    <w:p w14:paraId="1D24DA09" w14:textId="77777777" w:rsidR="00E74249" w:rsidRPr="00DF43EC" w:rsidRDefault="00E74249" w:rsidP="0085162A">
      <w:pPr>
        <w:spacing w:after="0" w:line="240" w:lineRule="auto"/>
        <w:ind w:left="720"/>
        <w:jc w:val="both"/>
        <w:rPr>
          <w:rFonts w:ascii="Arial" w:hAnsi="Arial" w:cs="Arial"/>
          <w:sz w:val="24"/>
          <w:szCs w:val="24"/>
        </w:rPr>
      </w:pPr>
    </w:p>
    <w:p w14:paraId="28F33DD8" w14:textId="77777777" w:rsidR="00E74249" w:rsidRPr="00E74249" w:rsidRDefault="00E74249" w:rsidP="00E74249">
      <w:pPr>
        <w:spacing w:after="0" w:line="240" w:lineRule="auto"/>
        <w:jc w:val="both"/>
        <w:rPr>
          <w:rFonts w:ascii="Arial" w:hAnsi="Arial" w:cs="Arial"/>
          <w:b/>
          <w:bCs/>
          <w:i/>
          <w:iCs/>
          <w:sz w:val="24"/>
          <w:szCs w:val="24"/>
        </w:rPr>
      </w:pPr>
      <w:r w:rsidRPr="00E74249">
        <w:rPr>
          <w:rFonts w:ascii="Arial" w:hAnsi="Arial" w:cs="Arial"/>
          <w:b/>
          <w:bCs/>
          <w:i/>
          <w:iCs/>
          <w:sz w:val="24"/>
          <w:szCs w:val="24"/>
        </w:rPr>
        <w:t>Form DI 505</w:t>
      </w:r>
    </w:p>
    <w:p w14:paraId="16985FE3" w14:textId="272863F1" w:rsidR="00E74249" w:rsidRPr="00E74249" w:rsidRDefault="00E74249" w:rsidP="00E74249">
      <w:pPr>
        <w:spacing w:after="0" w:line="240" w:lineRule="auto"/>
        <w:jc w:val="both"/>
        <w:rPr>
          <w:rFonts w:ascii="Arial" w:hAnsi="Arial" w:cs="Arial"/>
          <w:sz w:val="24"/>
          <w:szCs w:val="24"/>
        </w:rPr>
      </w:pPr>
    </w:p>
    <w:p w14:paraId="6EA347D3" w14:textId="78396285" w:rsidR="00E74249" w:rsidRPr="00E74249" w:rsidRDefault="00E74249" w:rsidP="00E74249">
      <w:pPr>
        <w:spacing w:after="0" w:line="240" w:lineRule="auto"/>
        <w:jc w:val="both"/>
        <w:rPr>
          <w:rFonts w:ascii="Arial" w:hAnsi="Arial" w:cs="Arial"/>
          <w:sz w:val="24"/>
          <w:szCs w:val="24"/>
        </w:rPr>
      </w:pPr>
      <w:r w:rsidRPr="00E74249">
        <w:rPr>
          <w:rFonts w:ascii="Arial" w:hAnsi="Arial" w:cs="Arial"/>
          <w:sz w:val="24"/>
          <w:szCs w:val="24"/>
        </w:rPr>
        <w:t xml:space="preserve">This form shall be used to inform the </w:t>
      </w:r>
      <w:r w:rsidR="004F5D65">
        <w:rPr>
          <w:rFonts w:ascii="Arial" w:hAnsi="Arial" w:cs="Arial"/>
          <w:sz w:val="24"/>
          <w:szCs w:val="24"/>
        </w:rPr>
        <w:t>Authority</w:t>
      </w:r>
      <w:r w:rsidRPr="00E74249">
        <w:rPr>
          <w:rFonts w:ascii="Arial" w:hAnsi="Arial" w:cs="Arial"/>
          <w:sz w:val="24"/>
          <w:szCs w:val="24"/>
        </w:rPr>
        <w:t xml:space="preserve">, as required by section 51(2) of the </w:t>
      </w:r>
      <w:r w:rsidR="004F5D65">
        <w:rPr>
          <w:rFonts w:ascii="Arial" w:hAnsi="Arial" w:cs="Arial"/>
          <w:sz w:val="24"/>
          <w:szCs w:val="24"/>
        </w:rPr>
        <w:t xml:space="preserve">Mutual Banks </w:t>
      </w:r>
      <w:r w:rsidRPr="00E74249">
        <w:rPr>
          <w:rFonts w:ascii="Arial" w:hAnsi="Arial" w:cs="Arial"/>
          <w:sz w:val="24"/>
          <w:szCs w:val="24"/>
        </w:rPr>
        <w:t>Act, of any transaction in the form of an investment with, or a loan, advance or other credit facility granted to, a person, as defined in regulation 45</w:t>
      </w:r>
      <w:r w:rsidR="004F5D65">
        <w:rPr>
          <w:rFonts w:ascii="Arial" w:hAnsi="Arial" w:cs="Arial"/>
          <w:sz w:val="24"/>
          <w:szCs w:val="24"/>
        </w:rPr>
        <w:t xml:space="preserve"> of the Regulations</w:t>
      </w:r>
      <w:r w:rsidRPr="00E74249">
        <w:rPr>
          <w:rFonts w:ascii="Arial" w:hAnsi="Arial" w:cs="Arial"/>
          <w:sz w:val="24"/>
          <w:szCs w:val="24"/>
        </w:rPr>
        <w:t>, which transaction results in the reporting mutual bank being exposed to that person to an amount exceeding an amount representing the percentage of its capital and reserves prescribed in regulation 30(1)(b)</w:t>
      </w:r>
      <w:r w:rsidR="004F5D65">
        <w:rPr>
          <w:rFonts w:ascii="Arial" w:hAnsi="Arial" w:cs="Arial"/>
          <w:sz w:val="24"/>
          <w:szCs w:val="24"/>
        </w:rPr>
        <w:t xml:space="preserve"> of the Regulations</w:t>
      </w:r>
      <w:r w:rsidRPr="00E74249">
        <w:rPr>
          <w:rFonts w:ascii="Arial" w:hAnsi="Arial" w:cs="Arial"/>
          <w:sz w:val="24"/>
          <w:szCs w:val="24"/>
        </w:rPr>
        <w:t>.</w:t>
      </w:r>
    </w:p>
    <w:p w14:paraId="09076AFB" w14:textId="538ECB2C" w:rsidR="00E74249" w:rsidRPr="00E74249" w:rsidRDefault="00E74249" w:rsidP="00E74249">
      <w:pPr>
        <w:spacing w:after="0" w:line="240" w:lineRule="auto"/>
        <w:jc w:val="both"/>
        <w:rPr>
          <w:rFonts w:ascii="Arial" w:hAnsi="Arial" w:cs="Arial"/>
          <w:sz w:val="24"/>
          <w:szCs w:val="24"/>
        </w:rPr>
      </w:pPr>
    </w:p>
    <w:p w14:paraId="7C9FE670" w14:textId="77777777" w:rsidR="00E74249" w:rsidRPr="00E74249" w:rsidRDefault="00E74249" w:rsidP="00E74249">
      <w:pPr>
        <w:spacing w:after="0" w:line="240" w:lineRule="auto"/>
        <w:jc w:val="both"/>
        <w:rPr>
          <w:rFonts w:ascii="Arial" w:hAnsi="Arial" w:cs="Arial"/>
          <w:b/>
          <w:bCs/>
          <w:i/>
          <w:iCs/>
          <w:sz w:val="24"/>
          <w:szCs w:val="24"/>
        </w:rPr>
      </w:pPr>
      <w:r w:rsidRPr="00E74249">
        <w:rPr>
          <w:rFonts w:ascii="Arial" w:hAnsi="Arial" w:cs="Arial"/>
          <w:b/>
          <w:bCs/>
          <w:i/>
          <w:iCs/>
          <w:sz w:val="24"/>
          <w:szCs w:val="24"/>
        </w:rPr>
        <w:t>Form DI 510</w:t>
      </w:r>
    </w:p>
    <w:p w14:paraId="1D584CED" w14:textId="281540C9" w:rsidR="00E74249" w:rsidRPr="00E74249" w:rsidRDefault="00E74249" w:rsidP="00E74249">
      <w:pPr>
        <w:spacing w:after="0" w:line="240" w:lineRule="auto"/>
        <w:jc w:val="both"/>
        <w:rPr>
          <w:rFonts w:ascii="Arial" w:hAnsi="Arial" w:cs="Arial"/>
          <w:sz w:val="24"/>
          <w:szCs w:val="24"/>
        </w:rPr>
      </w:pPr>
    </w:p>
    <w:p w14:paraId="5F8BEBD9" w14:textId="10CDD705" w:rsidR="00E74249" w:rsidRPr="00E74249" w:rsidRDefault="00E74249" w:rsidP="002E016C">
      <w:pPr>
        <w:spacing w:after="0" w:line="240" w:lineRule="auto"/>
        <w:ind w:left="720" w:hanging="720"/>
        <w:jc w:val="both"/>
        <w:rPr>
          <w:rFonts w:ascii="Arial" w:hAnsi="Arial" w:cs="Arial"/>
          <w:sz w:val="24"/>
          <w:szCs w:val="24"/>
        </w:rPr>
      </w:pPr>
      <w:r w:rsidRPr="00E74249">
        <w:rPr>
          <w:rFonts w:ascii="Arial" w:hAnsi="Arial" w:cs="Arial"/>
          <w:sz w:val="24"/>
          <w:szCs w:val="24"/>
        </w:rPr>
        <w:t>-</w:t>
      </w:r>
      <w:r>
        <w:rPr>
          <w:rFonts w:ascii="Arial" w:hAnsi="Arial" w:cs="Arial"/>
          <w:sz w:val="24"/>
          <w:szCs w:val="24"/>
        </w:rPr>
        <w:tab/>
      </w:r>
      <w:r w:rsidRPr="00E74249">
        <w:rPr>
          <w:rFonts w:ascii="Arial" w:hAnsi="Arial" w:cs="Arial"/>
          <w:sz w:val="24"/>
          <w:szCs w:val="24"/>
        </w:rPr>
        <w:t xml:space="preserve">This return shall be completed </w:t>
      </w:r>
      <w:proofErr w:type="gramStart"/>
      <w:r w:rsidRPr="00E74249">
        <w:rPr>
          <w:rFonts w:ascii="Arial" w:hAnsi="Arial" w:cs="Arial"/>
          <w:sz w:val="24"/>
          <w:szCs w:val="24"/>
        </w:rPr>
        <w:t>on the basis of</w:t>
      </w:r>
      <w:proofErr w:type="gramEnd"/>
      <w:r w:rsidRPr="00E74249">
        <w:rPr>
          <w:rFonts w:ascii="Arial" w:hAnsi="Arial" w:cs="Arial"/>
          <w:sz w:val="24"/>
          <w:szCs w:val="24"/>
        </w:rPr>
        <w:t xml:space="preserve"> exposure to a legal entity and not</w:t>
      </w:r>
      <w:r w:rsidR="002E016C">
        <w:rPr>
          <w:rFonts w:ascii="Arial" w:hAnsi="Arial" w:cs="Arial"/>
          <w:sz w:val="24"/>
          <w:szCs w:val="24"/>
        </w:rPr>
        <w:t xml:space="preserve"> </w:t>
      </w:r>
      <w:r w:rsidRPr="00E74249">
        <w:rPr>
          <w:rFonts w:ascii="Arial" w:hAnsi="Arial" w:cs="Arial"/>
          <w:sz w:val="24"/>
          <w:szCs w:val="24"/>
        </w:rPr>
        <w:t>on the basis of exposure per account.</w:t>
      </w:r>
    </w:p>
    <w:p w14:paraId="15E3D62D" w14:textId="2FF9418F" w:rsidR="00E74249" w:rsidRPr="00E74249" w:rsidRDefault="00E74249" w:rsidP="00E74249">
      <w:pPr>
        <w:spacing w:after="0" w:line="240" w:lineRule="auto"/>
        <w:jc w:val="both"/>
        <w:rPr>
          <w:rFonts w:ascii="Arial" w:hAnsi="Arial" w:cs="Arial"/>
          <w:sz w:val="24"/>
          <w:szCs w:val="24"/>
        </w:rPr>
      </w:pPr>
    </w:p>
    <w:p w14:paraId="609C36DD" w14:textId="0112A854" w:rsidR="00E74249" w:rsidRPr="00E74249" w:rsidRDefault="00E74249" w:rsidP="002E016C">
      <w:pPr>
        <w:spacing w:after="0" w:line="240" w:lineRule="auto"/>
        <w:ind w:left="720" w:hanging="720"/>
        <w:jc w:val="both"/>
        <w:rPr>
          <w:rFonts w:ascii="Arial" w:hAnsi="Arial" w:cs="Arial"/>
          <w:sz w:val="24"/>
          <w:szCs w:val="24"/>
        </w:rPr>
      </w:pPr>
      <w:r w:rsidRPr="00E74249">
        <w:rPr>
          <w:rFonts w:ascii="Arial" w:hAnsi="Arial" w:cs="Arial"/>
          <w:sz w:val="24"/>
          <w:szCs w:val="24"/>
        </w:rPr>
        <w:t>-</w:t>
      </w:r>
      <w:r>
        <w:rPr>
          <w:rFonts w:ascii="Arial" w:hAnsi="Arial" w:cs="Arial"/>
          <w:sz w:val="24"/>
          <w:szCs w:val="24"/>
        </w:rPr>
        <w:tab/>
      </w:r>
      <w:r w:rsidRPr="00E74249">
        <w:rPr>
          <w:rFonts w:ascii="Arial" w:hAnsi="Arial" w:cs="Arial"/>
          <w:sz w:val="24"/>
          <w:szCs w:val="24"/>
        </w:rPr>
        <w:t>The relevant exposure relates to the aggregate exposure of the reporting</w:t>
      </w:r>
      <w:r>
        <w:rPr>
          <w:rFonts w:ascii="Arial" w:hAnsi="Arial" w:cs="Arial"/>
          <w:sz w:val="24"/>
          <w:szCs w:val="24"/>
        </w:rPr>
        <w:t xml:space="preserve"> </w:t>
      </w:r>
      <w:r w:rsidRPr="00E74249">
        <w:rPr>
          <w:rFonts w:ascii="Arial" w:hAnsi="Arial" w:cs="Arial"/>
          <w:sz w:val="24"/>
          <w:szCs w:val="24"/>
        </w:rPr>
        <w:t>mutual bank to an individual client in respect of the deposits, loans and advances and the investments included in asset items 40 to 51 and 63 respectively, and the said client's liabilities in respect of outstanding acknowledgements of debt included in line item numbers 70 to 73 on form DI</w:t>
      </w:r>
      <w:r w:rsidR="00A52498">
        <w:rPr>
          <w:rFonts w:ascii="Arial" w:hAnsi="Arial" w:cs="Arial"/>
          <w:sz w:val="24"/>
          <w:szCs w:val="24"/>
        </w:rPr>
        <w:t> </w:t>
      </w:r>
      <w:r w:rsidRPr="00E74249">
        <w:rPr>
          <w:rFonts w:ascii="Arial" w:hAnsi="Arial" w:cs="Arial"/>
          <w:sz w:val="24"/>
          <w:szCs w:val="24"/>
        </w:rPr>
        <w:t>100 and all contingent liabilities included in line item numbers 1, 2, 3, 4 and 5 on form DI 110 and 10 per cent of gross outstanding forward exchange contracts.</w:t>
      </w:r>
    </w:p>
    <w:p w14:paraId="31CC6E8F" w14:textId="77777777" w:rsidR="002E016C" w:rsidRPr="00E74249" w:rsidRDefault="002E016C" w:rsidP="00E74249">
      <w:pPr>
        <w:spacing w:after="0" w:line="240" w:lineRule="auto"/>
        <w:jc w:val="both"/>
        <w:rPr>
          <w:rFonts w:ascii="Arial" w:hAnsi="Arial" w:cs="Arial"/>
          <w:sz w:val="24"/>
          <w:szCs w:val="24"/>
        </w:rPr>
      </w:pPr>
    </w:p>
    <w:p w14:paraId="4B0CC244" w14:textId="6B5597C5" w:rsidR="00E74249" w:rsidRPr="002E016C" w:rsidRDefault="00E74249" w:rsidP="002E016C">
      <w:pPr>
        <w:pStyle w:val="ListParagraph"/>
        <w:numPr>
          <w:ilvl w:val="0"/>
          <w:numId w:val="6"/>
        </w:numPr>
        <w:spacing w:after="0" w:line="240" w:lineRule="auto"/>
        <w:ind w:hanging="720"/>
        <w:jc w:val="both"/>
        <w:rPr>
          <w:rFonts w:ascii="Arial" w:hAnsi="Arial" w:cs="Arial"/>
          <w:sz w:val="24"/>
          <w:szCs w:val="24"/>
        </w:rPr>
      </w:pPr>
      <w:r w:rsidRPr="002E016C">
        <w:rPr>
          <w:rFonts w:ascii="Arial" w:hAnsi="Arial" w:cs="Arial"/>
          <w:sz w:val="24"/>
          <w:szCs w:val="24"/>
        </w:rPr>
        <w:lastRenderedPageBreak/>
        <w:t xml:space="preserve">All exposures in excess of 10 per cent of the net qualifying capital and reserves of the reporting mutual bank, as shown in </w:t>
      </w:r>
      <w:proofErr w:type="gramStart"/>
      <w:r w:rsidRPr="002E016C">
        <w:rPr>
          <w:rFonts w:ascii="Arial" w:hAnsi="Arial" w:cs="Arial"/>
          <w:sz w:val="24"/>
          <w:szCs w:val="24"/>
        </w:rPr>
        <w:t>line item</w:t>
      </w:r>
      <w:proofErr w:type="gramEnd"/>
      <w:r w:rsidRPr="002E016C">
        <w:rPr>
          <w:rFonts w:ascii="Arial" w:hAnsi="Arial" w:cs="Arial"/>
          <w:sz w:val="24"/>
          <w:szCs w:val="24"/>
        </w:rPr>
        <w:t xml:space="preserve"> number 31 on form DI 100 at the latest date for which the relevant statement was submitted, shall be reflected in this return.</w:t>
      </w:r>
    </w:p>
    <w:p w14:paraId="438575C8" w14:textId="6584FB35" w:rsidR="00E74249" w:rsidRPr="00E74249" w:rsidRDefault="00E74249" w:rsidP="00E74249">
      <w:pPr>
        <w:spacing w:after="0" w:line="240" w:lineRule="auto"/>
        <w:jc w:val="both"/>
        <w:rPr>
          <w:rFonts w:ascii="Arial" w:hAnsi="Arial" w:cs="Arial"/>
          <w:sz w:val="24"/>
          <w:szCs w:val="24"/>
        </w:rPr>
      </w:pPr>
    </w:p>
    <w:p w14:paraId="720453A4" w14:textId="47D17F03" w:rsidR="00E74249" w:rsidRPr="004F5D65" w:rsidRDefault="00E74249" w:rsidP="004F5D65">
      <w:pPr>
        <w:pStyle w:val="ListParagraph"/>
        <w:numPr>
          <w:ilvl w:val="0"/>
          <w:numId w:val="6"/>
        </w:numPr>
        <w:spacing w:after="0" w:line="240" w:lineRule="auto"/>
        <w:ind w:hanging="720"/>
        <w:jc w:val="both"/>
        <w:rPr>
          <w:rFonts w:ascii="Arial" w:hAnsi="Arial" w:cs="Arial"/>
          <w:sz w:val="24"/>
          <w:szCs w:val="24"/>
        </w:rPr>
      </w:pPr>
      <w:r w:rsidRPr="004F5D65">
        <w:rPr>
          <w:rFonts w:ascii="Arial" w:hAnsi="Arial" w:cs="Arial"/>
          <w:sz w:val="24"/>
          <w:szCs w:val="24"/>
        </w:rPr>
        <w:t>The exposure granted shall be expressed as a percentage of capital and reserves in column 6.</w:t>
      </w:r>
    </w:p>
    <w:p w14:paraId="4C010A7B" w14:textId="3775387A" w:rsidR="00DF43EC" w:rsidRPr="00DF43EC" w:rsidRDefault="00DF43EC" w:rsidP="00DF43EC">
      <w:pPr>
        <w:spacing w:after="0" w:line="240" w:lineRule="auto"/>
        <w:jc w:val="both"/>
        <w:rPr>
          <w:rFonts w:ascii="Arial" w:hAnsi="Arial" w:cs="Arial"/>
          <w:sz w:val="24"/>
          <w:szCs w:val="24"/>
        </w:rPr>
      </w:pPr>
    </w:p>
    <w:sectPr w:rsidR="00DF43EC" w:rsidRPr="00DF43E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66493" w14:textId="77777777" w:rsidR="00B3585D" w:rsidRDefault="00B3585D" w:rsidP="00F72CCE">
      <w:pPr>
        <w:spacing w:after="0" w:line="240" w:lineRule="auto"/>
      </w:pPr>
      <w:r>
        <w:separator/>
      </w:r>
    </w:p>
  </w:endnote>
  <w:endnote w:type="continuationSeparator" w:id="0">
    <w:p w14:paraId="31D9D035" w14:textId="77777777" w:rsidR="00B3585D" w:rsidRDefault="00B3585D"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E7" w14:textId="77777777" w:rsidR="00B3585D" w:rsidRDefault="00B3585D" w:rsidP="00F72CCE">
      <w:pPr>
        <w:spacing w:after="0" w:line="240" w:lineRule="auto"/>
      </w:pPr>
      <w:r>
        <w:separator/>
      </w:r>
    </w:p>
  </w:footnote>
  <w:footnote w:type="continuationSeparator" w:id="0">
    <w:p w14:paraId="2332634D" w14:textId="77777777" w:rsidR="00B3585D" w:rsidRDefault="00B3585D" w:rsidP="00F7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B09BA"/>
    <w:multiLevelType w:val="hybridMultilevel"/>
    <w:tmpl w:val="251C13E0"/>
    <w:lvl w:ilvl="0" w:tplc="28AC95D2">
      <w:start w:val="12"/>
      <w:numFmt w:val="bullet"/>
      <w:lvlText w:val="-"/>
      <w:lvlJc w:val="left"/>
      <w:pPr>
        <w:ind w:left="720" w:hanging="360"/>
      </w:pPr>
      <w:rPr>
        <w:rFonts w:ascii="Arial" w:eastAsiaTheme="minorHAns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EBD120D"/>
    <w:multiLevelType w:val="hybridMultilevel"/>
    <w:tmpl w:val="4CCA4F96"/>
    <w:lvl w:ilvl="0" w:tplc="58B0C5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7C01EC0"/>
    <w:multiLevelType w:val="hybridMultilevel"/>
    <w:tmpl w:val="208C0D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5EA80E3C"/>
    <w:multiLevelType w:val="hybridMultilevel"/>
    <w:tmpl w:val="4E46319C"/>
    <w:lvl w:ilvl="0" w:tplc="E60C018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7811A40"/>
    <w:multiLevelType w:val="hybridMultilevel"/>
    <w:tmpl w:val="20965D5A"/>
    <w:lvl w:ilvl="0" w:tplc="8988AB24">
      <w:start w:val="5"/>
      <w:numFmt w:val="bullet"/>
      <w:lvlText w:val="-"/>
      <w:lvlJc w:val="left"/>
      <w:pPr>
        <w:ind w:left="1080" w:hanging="360"/>
      </w:pPr>
      <w:rPr>
        <w:rFonts w:ascii="Arial" w:eastAsiaTheme="minorHAns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15:restartNumberingAfterBreak="0">
    <w:nsid w:val="7AE8582D"/>
    <w:multiLevelType w:val="hybridMultilevel"/>
    <w:tmpl w:val="4CF833C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4730">
    <w:abstractNumId w:val="2"/>
  </w:num>
  <w:num w:numId="2" w16cid:durableId="625546607">
    <w:abstractNumId w:val="3"/>
  </w:num>
  <w:num w:numId="3" w16cid:durableId="539174378">
    <w:abstractNumId w:val="1"/>
  </w:num>
  <w:num w:numId="4" w16cid:durableId="1952860532">
    <w:abstractNumId w:val="5"/>
  </w:num>
  <w:num w:numId="5" w16cid:durableId="1303342956">
    <w:abstractNumId w:val="4"/>
  </w:num>
  <w:num w:numId="6" w16cid:durableId="828788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0D6ADB"/>
    <w:rsid w:val="000E5B33"/>
    <w:rsid w:val="000F6244"/>
    <w:rsid w:val="001E2BDE"/>
    <w:rsid w:val="002D4C86"/>
    <w:rsid w:val="002E016C"/>
    <w:rsid w:val="00306D22"/>
    <w:rsid w:val="00310CA1"/>
    <w:rsid w:val="004716AA"/>
    <w:rsid w:val="004F5AFD"/>
    <w:rsid w:val="004F5D65"/>
    <w:rsid w:val="005265A0"/>
    <w:rsid w:val="005B2380"/>
    <w:rsid w:val="005B3972"/>
    <w:rsid w:val="006042EE"/>
    <w:rsid w:val="00690243"/>
    <w:rsid w:val="006C4FF9"/>
    <w:rsid w:val="006D73BA"/>
    <w:rsid w:val="006E1A73"/>
    <w:rsid w:val="007612FC"/>
    <w:rsid w:val="008122B2"/>
    <w:rsid w:val="00845843"/>
    <w:rsid w:val="0085162A"/>
    <w:rsid w:val="0093469F"/>
    <w:rsid w:val="00956DBB"/>
    <w:rsid w:val="009C52DF"/>
    <w:rsid w:val="009C73A2"/>
    <w:rsid w:val="00A062EE"/>
    <w:rsid w:val="00A07255"/>
    <w:rsid w:val="00A52498"/>
    <w:rsid w:val="00A764DA"/>
    <w:rsid w:val="00AA4483"/>
    <w:rsid w:val="00B24288"/>
    <w:rsid w:val="00B3585D"/>
    <w:rsid w:val="00B765C9"/>
    <w:rsid w:val="00BB5268"/>
    <w:rsid w:val="00BB5D4D"/>
    <w:rsid w:val="00BD46A5"/>
    <w:rsid w:val="00C20964"/>
    <w:rsid w:val="00C26D7E"/>
    <w:rsid w:val="00C359AD"/>
    <w:rsid w:val="00C81E27"/>
    <w:rsid w:val="00C94F08"/>
    <w:rsid w:val="00CF3802"/>
    <w:rsid w:val="00D62654"/>
    <w:rsid w:val="00D86D0A"/>
    <w:rsid w:val="00DB51EB"/>
    <w:rsid w:val="00DF43EC"/>
    <w:rsid w:val="00E74249"/>
    <w:rsid w:val="00F145D2"/>
    <w:rsid w:val="00F72CCE"/>
    <w:rsid w:val="00FB34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 w:type="character" w:styleId="Hyperlink">
    <w:name w:val="Hyperlink"/>
    <w:basedOn w:val="DefaultParagraphFont"/>
    <w:uiPriority w:val="99"/>
    <w:unhideWhenUsed/>
    <w:rsid w:val="00690243"/>
    <w:rPr>
      <w:color w:val="467886" w:themeColor="hyperlink"/>
      <w:u w:val="single"/>
    </w:rPr>
  </w:style>
  <w:style w:type="character" w:styleId="UnresolvedMention">
    <w:name w:val="Unresolved Mention"/>
    <w:basedOn w:val="DefaultParagraphFont"/>
    <w:uiPriority w:val="99"/>
    <w:semiHidden/>
    <w:unhideWhenUsed/>
    <w:rsid w:val="00690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63143">
      <w:bodyDiv w:val="1"/>
      <w:marLeft w:val="0"/>
      <w:marRight w:val="0"/>
      <w:marTop w:val="0"/>
      <w:marBottom w:val="0"/>
      <w:divBdr>
        <w:top w:val="none" w:sz="0" w:space="0" w:color="auto"/>
        <w:left w:val="none" w:sz="0" w:space="0" w:color="auto"/>
        <w:bottom w:val="none" w:sz="0" w:space="0" w:color="auto"/>
        <w:right w:val="none" w:sz="0" w:space="0" w:color="auto"/>
      </w:divBdr>
    </w:div>
    <w:div w:id="690497771">
      <w:bodyDiv w:val="1"/>
      <w:marLeft w:val="0"/>
      <w:marRight w:val="0"/>
      <w:marTop w:val="0"/>
      <w:marBottom w:val="0"/>
      <w:divBdr>
        <w:top w:val="none" w:sz="0" w:space="0" w:color="auto"/>
        <w:left w:val="none" w:sz="0" w:space="0" w:color="auto"/>
        <w:bottom w:val="none" w:sz="0" w:space="0" w:color="auto"/>
        <w:right w:val="none" w:sz="0" w:space="0" w:color="auto"/>
      </w:divBdr>
    </w:div>
    <w:div w:id="787967140">
      <w:bodyDiv w:val="1"/>
      <w:marLeft w:val="0"/>
      <w:marRight w:val="0"/>
      <w:marTop w:val="0"/>
      <w:marBottom w:val="0"/>
      <w:divBdr>
        <w:top w:val="none" w:sz="0" w:space="0" w:color="auto"/>
        <w:left w:val="none" w:sz="0" w:space="0" w:color="auto"/>
        <w:bottom w:val="none" w:sz="0" w:space="0" w:color="auto"/>
        <w:right w:val="none" w:sz="0" w:space="0" w:color="auto"/>
      </w:divBdr>
    </w:div>
    <w:div w:id="1229219926">
      <w:bodyDiv w:val="1"/>
      <w:marLeft w:val="0"/>
      <w:marRight w:val="0"/>
      <w:marTop w:val="0"/>
      <w:marBottom w:val="0"/>
      <w:divBdr>
        <w:top w:val="none" w:sz="0" w:space="0" w:color="auto"/>
        <w:left w:val="none" w:sz="0" w:space="0" w:color="auto"/>
        <w:bottom w:val="none" w:sz="0" w:space="0" w:color="auto"/>
        <w:right w:val="none" w:sz="0" w:space="0" w:color="auto"/>
      </w:divBdr>
    </w:div>
    <w:div w:id="1315180113">
      <w:bodyDiv w:val="1"/>
      <w:marLeft w:val="0"/>
      <w:marRight w:val="0"/>
      <w:marTop w:val="0"/>
      <w:marBottom w:val="0"/>
      <w:divBdr>
        <w:top w:val="none" w:sz="0" w:space="0" w:color="auto"/>
        <w:left w:val="none" w:sz="0" w:space="0" w:color="auto"/>
        <w:bottom w:val="none" w:sz="0" w:space="0" w:color="auto"/>
        <w:right w:val="none" w:sz="0" w:space="0" w:color="auto"/>
      </w:divBdr>
    </w:div>
    <w:div w:id="1319724263">
      <w:bodyDiv w:val="1"/>
      <w:marLeft w:val="0"/>
      <w:marRight w:val="0"/>
      <w:marTop w:val="0"/>
      <w:marBottom w:val="0"/>
      <w:divBdr>
        <w:top w:val="none" w:sz="0" w:space="0" w:color="auto"/>
        <w:left w:val="none" w:sz="0" w:space="0" w:color="auto"/>
        <w:bottom w:val="none" w:sz="0" w:space="0" w:color="auto"/>
        <w:right w:val="none" w:sz="0" w:space="0" w:color="auto"/>
      </w:divBdr>
    </w:div>
    <w:div w:id="1376084565">
      <w:bodyDiv w:val="1"/>
      <w:marLeft w:val="0"/>
      <w:marRight w:val="0"/>
      <w:marTop w:val="0"/>
      <w:marBottom w:val="0"/>
      <w:divBdr>
        <w:top w:val="none" w:sz="0" w:space="0" w:color="auto"/>
        <w:left w:val="none" w:sz="0" w:space="0" w:color="auto"/>
        <w:bottom w:val="none" w:sz="0" w:space="0" w:color="auto"/>
        <w:right w:val="none" w:sz="0" w:space="0" w:color="auto"/>
      </w:divBdr>
    </w:div>
    <w:div w:id="1392117960">
      <w:bodyDiv w:val="1"/>
      <w:marLeft w:val="0"/>
      <w:marRight w:val="0"/>
      <w:marTop w:val="0"/>
      <w:marBottom w:val="0"/>
      <w:divBdr>
        <w:top w:val="none" w:sz="0" w:space="0" w:color="auto"/>
        <w:left w:val="none" w:sz="0" w:space="0" w:color="auto"/>
        <w:bottom w:val="none" w:sz="0" w:space="0" w:color="auto"/>
        <w:right w:val="none" w:sz="0" w:space="0" w:color="auto"/>
      </w:divBdr>
    </w:div>
    <w:div w:id="1572159798">
      <w:bodyDiv w:val="1"/>
      <w:marLeft w:val="0"/>
      <w:marRight w:val="0"/>
      <w:marTop w:val="0"/>
      <w:marBottom w:val="0"/>
      <w:divBdr>
        <w:top w:val="none" w:sz="0" w:space="0" w:color="auto"/>
        <w:left w:val="none" w:sz="0" w:space="0" w:color="auto"/>
        <w:bottom w:val="none" w:sz="0" w:space="0" w:color="auto"/>
        <w:right w:val="none" w:sz="0" w:space="0" w:color="auto"/>
      </w:divBdr>
    </w:div>
    <w:div w:id="17986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9d4506a198993af26abf17c23da026ad">
  <xsd:schema xmlns:xsd="http://www.w3.org/2001/XMLSchema" xmlns:xs="http://www.w3.org/2001/XMLSchema" xmlns:p="http://schemas.microsoft.com/office/2006/metadata/properties" xmlns:ns2="5f2fb132-bb82-4cf7-820b-340297f9a1c2" targetNamespace="http://schemas.microsoft.com/office/2006/metadata/properties" ma:root="true" ma:fieldsID="cf054e7e08442dae09f460d8d1124d57"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ACCDB4-FA07-4D8F-9B62-28F81FF9F6E8}"/>
</file>

<file path=customXml/itemProps2.xml><?xml version="1.0" encoding="utf-8"?>
<ds:datastoreItem xmlns:ds="http://schemas.openxmlformats.org/officeDocument/2006/customXml" ds:itemID="{EEC21F3D-B08C-4D41-B443-138EC33F8595}"/>
</file>

<file path=customXml/itemProps3.xml><?xml version="1.0" encoding="utf-8"?>
<ds:datastoreItem xmlns:ds="http://schemas.openxmlformats.org/officeDocument/2006/customXml" ds:itemID="{0D4ABF4E-32E7-44B7-B8A4-2CA325C72F12}"/>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16</cp:revision>
  <dcterms:created xsi:type="dcterms:W3CDTF">2025-02-05T12:10:00Z</dcterms:created>
  <dcterms:modified xsi:type="dcterms:W3CDTF">2025-02-06T08:23:00Z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ies>
</file>